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5.4.2022 tiistai</w:t>
      </w:r>
    </w:p>
    <w:p>
      <w:pPr>
        <w:pStyle w:val="Heading1"/>
      </w:pPr>
      <w:r>
        <w:t>5.4.2022 tiistai</w:t>
      </w:r>
    </w:p>
    <w:p>
      <w:pPr>
        <w:pStyle w:val="Heading2"/>
      </w:pPr>
      <w:r>
        <w:t>11:30-13:00 Kaupan- ja palvelualojen toimialalounas Kurikassa</w:t>
      </w:r>
    </w:p>
    <w:p>
      <w:r>
        <w:t>Kurikassa toimivien kaupan- ja palvelualojen toimijoiden lounastapaaminen.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