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24.2.2022 torstai</w:t>
      </w:r>
    </w:p>
    <w:p>
      <w:pPr>
        <w:pStyle w:val="Heading1"/>
      </w:pPr>
      <w:r>
        <w:t>24.2.2022 torstai</w:t>
      </w:r>
    </w:p>
    <w:p>
      <w:pPr>
        <w:pStyle w:val="Heading2"/>
      </w:pPr>
      <w:r>
        <w:t>15:00-17:00 Yrittäjän strategiset valinnat</w:t>
      </w:r>
    </w:p>
    <w:p>
      <w:r>
        <w:t>Työpaja on osa ESR-rahoitteista Hyvinvoiva hybridiyrittäjä -hanketta.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