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11.3.2024 maanantai</w:t>
      </w:r>
    </w:p>
    <w:p>
      <w:pPr>
        <w:pStyle w:val="Heading1"/>
      </w:pPr>
      <w:r>
        <w:t>11.3.2024 maanantai</w:t>
      </w:r>
    </w:p>
    <w:p>
      <w:pPr>
        <w:pStyle w:val="Heading2"/>
      </w:pPr>
      <w:r>
        <w:t xml:space="preserve">12:00-13:30 Kahvikekkerit ikääntyneille </w:t>
      </w:r>
    </w:p>
    <w:p>
      <w:r>
        <w:t>Kahvikekkerit on matalankynnyksen kahvihetki ikääntyneille ja hiljattain eläköityneille.</w:t>
      </w:r>
    </w:p>
    <w:p>
      <w:r>
        <w:t>Kahvimaksu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