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A</w:t>
      </w:r>
    </w:p>
    <w:p>
      <w:r>
        <w:t>13.5.2025 tiistai</w:t>
      </w:r>
    </w:p>
    <w:p>
      <w:pPr>
        <w:pStyle w:val="Heading1"/>
      </w:pPr>
      <w:r>
        <w:t>13.5.2025 tiistai</w:t>
      </w:r>
    </w:p>
    <w:p>
      <w:pPr>
        <w:pStyle w:val="Heading2"/>
      </w:pPr>
      <w:r>
        <w:t>08:15-12:00 Rakennuksen fiksu ja kannattava energiatehokkuus</w:t>
      </w:r>
    </w:p>
    <w:p>
      <w:r>
        <w:t xml:space="preserve">Tervetuloa kuulemaan ja keskustelemaan energiatehokkuuden parantamisesta erilaisissa kiinteistöissä.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