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2.2.2025 sunnuntai</w:t>
      </w:r>
    </w:p>
    <w:p>
      <w:pPr>
        <w:pStyle w:val="Heading1"/>
      </w:pPr>
      <w:r>
        <w:t>2.2.2025 sunnuntai</w:t>
      </w:r>
    </w:p>
    <w:p>
      <w:pPr>
        <w:pStyle w:val="Heading2"/>
      </w:pPr>
      <w:r>
        <w:t>13:00-16:30 Sunnuntairavit</w:t>
      </w:r>
    </w:p>
    <w:p>
      <w:r>
        <w:t>Päiväravit</w:t>
      </w:r>
    </w:p>
    <w:p>
      <w:r>
        <w:t>Pääsymaksu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