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11.4.2025 perjantai</w:t>
      </w:r>
    </w:p>
    <w:p>
      <w:pPr>
        <w:pStyle w:val="Heading1"/>
      </w:pPr>
      <w:r>
        <w:t>11.4.2025 perjantai</w:t>
      </w:r>
    </w:p>
    <w:p>
      <w:pPr>
        <w:pStyle w:val="Heading2"/>
      </w:pPr>
      <w:r>
        <w:t>18:00-20:00 SeAMK Speksi 2025 - Tekoälytöntä</w:t>
      </w:r>
    </w:p>
    <w:p>
      <w:r>
        <w:t>Tekoälytöntä - Vaihtovuosi kauempana kuin koskaan</w:t>
      </w:r>
    </w:p>
    <w:p>
      <w:r>
        <w:t>20€ /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