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21.11.2025 perjantai</w:t>
      </w:r>
    </w:p>
    <w:p>
      <w:pPr>
        <w:pStyle w:val="Heading1"/>
      </w:pPr>
      <w:r>
        <w:t>21.11.2025 perjantai</w:t>
      </w:r>
    </w:p>
    <w:p>
      <w:pPr>
        <w:pStyle w:val="Heading2"/>
      </w:pPr>
      <w:r>
        <w:t>15:00-19:00 PARSI ART WKND 21.-22.11.2025</w:t>
      </w:r>
    </w:p>
    <w:p>
      <w:r>
        <w:t xml:space="preserve">Teosvälityspäivät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